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BDC8" w14:textId="77777777" w:rsidR="00BE14FE" w:rsidRDefault="00BE14FE" w:rsidP="00502C97">
      <w:pPr>
        <w:pStyle w:val="Title"/>
      </w:pPr>
      <w:r>
        <w:t>Sure Klean</w:t>
      </w:r>
      <w:r>
        <w:rPr>
          <w:vertAlign w:val="superscript"/>
        </w:rPr>
        <w:t>®</w:t>
      </w:r>
      <w:r>
        <w:rPr>
          <w:szCs w:val="10"/>
        </w:rPr>
        <w:t xml:space="preserve"> </w:t>
      </w:r>
      <w:r>
        <w:t>Weather Seal Siloxane PD Water Repellent Specification</w:t>
      </w:r>
    </w:p>
    <w:p w14:paraId="65697E6A" w14:textId="77777777" w:rsidR="00BE14FE" w:rsidRPr="00502C97" w:rsidRDefault="00BE14FE" w:rsidP="00502C97"/>
    <w:p w14:paraId="1B23A3C4" w14:textId="77777777" w:rsidR="00BE14FE" w:rsidRPr="00502C97" w:rsidRDefault="00BE14FE" w:rsidP="00502C97">
      <w:pPr>
        <w:rPr>
          <w:rStyle w:val="Emphasis"/>
        </w:rPr>
      </w:pPr>
      <w:r w:rsidRPr="00502C97">
        <w:rPr>
          <w:rStyle w:val="Emphasis"/>
        </w:rPr>
        <w:t xml:space="preserve">Specifier Note:  The information provided below is intended to guide the Architect in developing specifications for products manufactured by PROSOCO, Inc. and should not be viewed as a complete source of information about the product(s).  The Architect should always refer to the Product Data Sheet and </w:t>
      </w:r>
      <w:r w:rsidR="005A10C7">
        <w:rPr>
          <w:rStyle w:val="Emphasis"/>
        </w:rPr>
        <w:t xml:space="preserve">SDS </w:t>
      </w:r>
      <w:r w:rsidRPr="00502C97">
        <w:rPr>
          <w:rStyle w:val="Emphasis"/>
        </w:rPr>
        <w:t xml:space="preserve">for additional recommendations and for safety information.  </w:t>
      </w:r>
    </w:p>
    <w:p w14:paraId="414E6853" w14:textId="77777777" w:rsidR="00BE14FE" w:rsidRPr="00502C97" w:rsidRDefault="00BE14FE" w:rsidP="00502C97">
      <w:pPr>
        <w:rPr>
          <w:rStyle w:val="Emphasis"/>
        </w:rPr>
      </w:pPr>
    </w:p>
    <w:p w14:paraId="780514FC" w14:textId="77777777" w:rsidR="00BE14FE" w:rsidRPr="00502C97" w:rsidRDefault="00BE14FE" w:rsidP="00502C97">
      <w:pPr>
        <w:rPr>
          <w:rStyle w:val="Emphasis"/>
        </w:rPr>
      </w:pPr>
      <w:r w:rsidRPr="00502C97">
        <w:rPr>
          <w:rStyle w:val="Emphasis"/>
        </w:rPr>
        <w:t xml:space="preserve">Specifier Note:  Paragraph below is for PART 1 GENERAL, Quality Assurance.  </w:t>
      </w:r>
    </w:p>
    <w:p w14:paraId="760309C5" w14:textId="77777777" w:rsidR="00BE14FE" w:rsidRPr="00502C97" w:rsidRDefault="00BE14FE" w:rsidP="00502C97"/>
    <w:p w14:paraId="6D9ABF14" w14:textId="77777777" w:rsidR="00BE14FE" w:rsidRPr="00502C97" w:rsidRDefault="00BE14FE" w:rsidP="00502C97">
      <w:pPr>
        <w:pStyle w:val="Heading1"/>
      </w:pPr>
      <w:r w:rsidRPr="00502C97">
        <w:t xml:space="preserve">Test Area </w:t>
      </w:r>
    </w:p>
    <w:p w14:paraId="64A14D7C" w14:textId="77777777" w:rsidR="00BE14FE" w:rsidRPr="00502C97" w:rsidRDefault="00BE14FE" w:rsidP="00502C97">
      <w:r w:rsidRPr="00502C97">
        <w:t xml:space="preserve">Test a minimum 4 ft. by 4 ft. area on each type of masonry. Use the manufacturer’s application instructions. Let test area protective treatment cure before inspection. Keep test panels available for comparison throughout the protective treatment project. </w:t>
      </w:r>
    </w:p>
    <w:p w14:paraId="1B268B8E" w14:textId="77777777" w:rsidR="00BE14FE" w:rsidRPr="00502C97" w:rsidRDefault="00BE14FE" w:rsidP="00502C97"/>
    <w:p w14:paraId="30C48394" w14:textId="77777777" w:rsidR="00BE14FE" w:rsidRPr="00502C97" w:rsidRDefault="00BE14FE" w:rsidP="00502C97">
      <w:pPr>
        <w:rPr>
          <w:rStyle w:val="Emphasis"/>
        </w:rPr>
      </w:pPr>
      <w:r w:rsidRPr="00502C97">
        <w:rPr>
          <w:rStyle w:val="Emphasis"/>
        </w:rPr>
        <w:t xml:space="preserve">Specifier Note:  Paragraphs below are for PART 2 PRODUCTS, Manufacturers and Products.  </w:t>
      </w:r>
    </w:p>
    <w:p w14:paraId="7DF8990E" w14:textId="77777777" w:rsidR="00BE14FE" w:rsidRPr="00502C97" w:rsidRDefault="00BE14FE" w:rsidP="00502C97"/>
    <w:p w14:paraId="4514BB8D" w14:textId="77777777" w:rsidR="00502C97" w:rsidRDefault="00BE14FE" w:rsidP="00502C97">
      <w:pPr>
        <w:pStyle w:val="Heading1"/>
      </w:pPr>
      <w:r w:rsidRPr="00502C97">
        <w:t>Manufacturer</w:t>
      </w:r>
    </w:p>
    <w:p w14:paraId="476BE7AA" w14:textId="77777777" w:rsidR="00BE14FE" w:rsidRDefault="00BE14FE" w:rsidP="00502C97">
      <w:r w:rsidRPr="00502C97">
        <w:t xml:space="preserve">PROSOCO, Inc., 3741 Greenway Circle, Lawrence, KS 66046.  Phone: (800) 255-4255; Fax: (785) 830-9797.  E-mail:  </w:t>
      </w:r>
      <w:hyperlink r:id="rId5" w:history="1">
        <w:r w:rsidR="00502C97" w:rsidRPr="00E43B27">
          <w:rPr>
            <w:rStyle w:val="Hyperlink"/>
          </w:rPr>
          <w:t>CustomerCare@prosoco.com</w:t>
        </w:r>
      </w:hyperlink>
    </w:p>
    <w:p w14:paraId="11A33DA0" w14:textId="77777777" w:rsidR="00502C97" w:rsidRPr="00502C97" w:rsidRDefault="00502C97" w:rsidP="00502C97"/>
    <w:p w14:paraId="3E7FE6EF" w14:textId="77777777" w:rsidR="00BE14FE" w:rsidRPr="00502C97" w:rsidRDefault="00BE14FE" w:rsidP="00502C97">
      <w:pPr>
        <w:pStyle w:val="Heading1"/>
      </w:pPr>
      <w:r w:rsidRPr="00502C97">
        <w:t>Product Description</w:t>
      </w:r>
    </w:p>
    <w:p w14:paraId="4BCB476C" w14:textId="77777777" w:rsidR="005A10C7" w:rsidRPr="005A10C7" w:rsidRDefault="00BE14FE" w:rsidP="005A10C7">
      <w:r w:rsidRPr="005A10C7">
        <w:t>Sure Klean</w:t>
      </w:r>
      <w:r w:rsidR="005A10C7" w:rsidRPr="005A10C7">
        <w:rPr>
          <w:vertAlign w:val="superscript"/>
        </w:rPr>
        <w:t>®</w:t>
      </w:r>
      <w:r w:rsidR="005A10C7" w:rsidRPr="005A10C7">
        <w:t xml:space="preserve"> Weather</w:t>
      </w:r>
      <w:r w:rsidRPr="005A10C7">
        <w:t xml:space="preserve"> Seal Siloxane PD (predilute) is a ready to-use, water-based silane/siloxane water repellent for concrete and most masonry and stucco surfaces. Siloxane PD is a low-VOC treatment that </w:t>
      </w:r>
      <w:r w:rsidR="005A10C7" w:rsidRPr="005A10C7">
        <w:t xml:space="preserve">will not impair the natural breathing characteristics of treated surfaces. </w:t>
      </w:r>
      <w:r w:rsidR="005A10C7">
        <w:t xml:space="preserve">Siloxane PD </w:t>
      </w:r>
      <w:r w:rsidR="005A10C7" w:rsidRPr="005A10C7">
        <w:t>helps masonry resist cracking, spalling, staining and other damage related to water intrusion. Low odor and alkaline stable, Siloxane PD is ideal for field and in-plant application.</w:t>
      </w:r>
    </w:p>
    <w:p w14:paraId="507FE9F4" w14:textId="77777777" w:rsidR="00BE14FE" w:rsidRPr="00502C97" w:rsidRDefault="00BE14FE" w:rsidP="00502C97"/>
    <w:p w14:paraId="563F08CF" w14:textId="77777777" w:rsidR="00BE14FE" w:rsidRPr="00502C97" w:rsidRDefault="00502C97" w:rsidP="00502C97">
      <w:pPr>
        <w:pStyle w:val="Heading1"/>
      </w:pPr>
      <w:r>
        <w:t xml:space="preserve">Typical </w:t>
      </w:r>
      <w:r w:rsidR="00BE14FE" w:rsidRPr="00502C97">
        <w:t>Technical Data</w:t>
      </w:r>
    </w:p>
    <w:p w14:paraId="4B41DEDD" w14:textId="77777777" w:rsidR="00BE14FE" w:rsidRPr="00502C97" w:rsidRDefault="00BE14FE" w:rsidP="00502C97">
      <w:pPr>
        <w:ind w:left="720"/>
      </w:pPr>
      <w:r w:rsidRPr="00502C97">
        <w:t xml:space="preserve">FORM: </w:t>
      </w:r>
      <w:r w:rsidR="00502C97">
        <w:t>cloudy white liquid, odorless</w:t>
      </w:r>
    </w:p>
    <w:p w14:paraId="390FB32E" w14:textId="77777777" w:rsidR="00BE14FE" w:rsidRPr="00502C97" w:rsidRDefault="00BE14FE" w:rsidP="00502C97">
      <w:pPr>
        <w:ind w:left="720"/>
      </w:pPr>
      <w:r w:rsidRPr="00502C97">
        <w:t>SPECIFIC GRAVITY: 0.99</w:t>
      </w:r>
      <w:r w:rsidR="001D3B59" w:rsidRPr="00502C97">
        <w:t>6</w:t>
      </w:r>
    </w:p>
    <w:p w14:paraId="2A59BEF5" w14:textId="77777777" w:rsidR="00502C97" w:rsidRPr="00502C97" w:rsidRDefault="00502C97" w:rsidP="00502C97">
      <w:pPr>
        <w:ind w:left="720"/>
      </w:pPr>
      <w:r w:rsidRPr="00502C97">
        <w:t>pH: 4</w:t>
      </w:r>
      <w:r>
        <w:t xml:space="preserve"> to 5</w:t>
      </w:r>
    </w:p>
    <w:p w14:paraId="4FFF8F46" w14:textId="77777777" w:rsidR="00502C97" w:rsidRPr="00502C97" w:rsidRDefault="00502C97" w:rsidP="00502C97">
      <w:pPr>
        <w:ind w:left="720"/>
      </w:pPr>
      <w:r>
        <w:t>WEIGHT</w:t>
      </w:r>
      <w:r w:rsidR="005A10C7">
        <w:t xml:space="preserve"> PER </w:t>
      </w:r>
      <w:r>
        <w:t>GALLON</w:t>
      </w:r>
      <w:r w:rsidRPr="00502C97">
        <w:t xml:space="preserve">: 8.29 </w:t>
      </w:r>
      <w:r>
        <w:t>pounds</w:t>
      </w:r>
    </w:p>
    <w:p w14:paraId="1A285B35" w14:textId="77777777" w:rsidR="00BE14FE" w:rsidRDefault="00BE14FE" w:rsidP="00502C97">
      <w:pPr>
        <w:ind w:left="720"/>
      </w:pPr>
      <w:r w:rsidRPr="00502C97">
        <w:t>ACTIVE CONTENT: 7</w:t>
      </w:r>
      <w:r w:rsidR="00502C97">
        <w:t xml:space="preserve"> percent</w:t>
      </w:r>
    </w:p>
    <w:p w14:paraId="193FAD83" w14:textId="77777777" w:rsidR="00502C97" w:rsidRPr="00502C97" w:rsidRDefault="00502C97" w:rsidP="00502C97">
      <w:pPr>
        <w:ind w:left="720"/>
      </w:pPr>
      <w:r>
        <w:t>TOTAL SOLIDS: 4 percent ASTM D5095</w:t>
      </w:r>
    </w:p>
    <w:p w14:paraId="3AF04957" w14:textId="77777777" w:rsidR="00BE14FE" w:rsidRPr="00502C97" w:rsidRDefault="00BE14FE" w:rsidP="00502C97">
      <w:pPr>
        <w:ind w:left="720"/>
      </w:pPr>
      <w:r w:rsidRPr="00502C97">
        <w:t xml:space="preserve">FLASH POINT: </w:t>
      </w:r>
      <w:r w:rsidR="00502C97">
        <w:t>greater than</w:t>
      </w:r>
      <w:r w:rsidRPr="00502C97">
        <w:t xml:space="preserve"> 212 degrees F</w:t>
      </w:r>
      <w:r w:rsidR="00F85102">
        <w:t>ahrenheit</w:t>
      </w:r>
      <w:r w:rsidRPr="00502C97">
        <w:t xml:space="preserve"> (</w:t>
      </w:r>
      <w:r w:rsidR="00502C97">
        <w:t>greater than</w:t>
      </w:r>
      <w:r w:rsidRPr="00502C97">
        <w:t xml:space="preserve"> 100 degrees C</w:t>
      </w:r>
      <w:r w:rsidR="00F85102">
        <w:t>elsius</w:t>
      </w:r>
      <w:r w:rsidRPr="00502C97">
        <w:t>) ASTM D 3278</w:t>
      </w:r>
    </w:p>
    <w:p w14:paraId="2F3A64C6" w14:textId="77777777" w:rsidR="00BE14FE" w:rsidRDefault="00BE14FE" w:rsidP="00502C97">
      <w:pPr>
        <w:ind w:left="720"/>
      </w:pPr>
      <w:r w:rsidRPr="00502C97">
        <w:t>FREEZE POINT: 32 degrees F</w:t>
      </w:r>
      <w:r w:rsidR="00F85102">
        <w:t>ahrenheit</w:t>
      </w:r>
      <w:r w:rsidRPr="00502C97">
        <w:t xml:space="preserve"> (0 degrees C</w:t>
      </w:r>
      <w:r w:rsidR="00F85102">
        <w:t>elsius</w:t>
      </w:r>
      <w:r w:rsidRPr="00502C97">
        <w:t>)</w:t>
      </w:r>
    </w:p>
    <w:p w14:paraId="6E38D56C" w14:textId="77777777" w:rsidR="00502C97" w:rsidRPr="00502C97" w:rsidRDefault="00502C97" w:rsidP="00502C97">
      <w:pPr>
        <w:ind w:left="720"/>
      </w:pPr>
      <w:r>
        <w:t>SHELF LIFE: 1 year in tightly sealed, unopened container</w:t>
      </w:r>
    </w:p>
    <w:p w14:paraId="156073BE" w14:textId="77777777" w:rsidR="00BE14FE" w:rsidRPr="00502C97" w:rsidRDefault="00BE14FE" w:rsidP="00502C97">
      <w:pPr>
        <w:ind w:left="720"/>
      </w:pPr>
      <w:r w:rsidRPr="00502C97">
        <w:t xml:space="preserve">VOC CONTENT: </w:t>
      </w:r>
      <w:r w:rsidR="00F85102">
        <w:t>l</w:t>
      </w:r>
      <w:r w:rsidR="00420C9C">
        <w:t xml:space="preserve">ess than 30 grams per Liter. Low solids coating. </w:t>
      </w:r>
      <w:r w:rsidRPr="00502C97">
        <w:t>Complies with all kno</w:t>
      </w:r>
      <w:r w:rsidR="00BA0D75" w:rsidRPr="00502C97">
        <w:t>w</w:t>
      </w:r>
      <w:r w:rsidRPr="00502C97">
        <w:t>n national, state and district AIM VOC regulations.</w:t>
      </w:r>
    </w:p>
    <w:p w14:paraId="3044FBE4" w14:textId="77777777" w:rsidR="00BE14FE" w:rsidRPr="00502C97" w:rsidRDefault="00BE14FE" w:rsidP="00502C97"/>
    <w:p w14:paraId="618038B0" w14:textId="77777777" w:rsidR="00BE14FE" w:rsidRPr="00502C97" w:rsidRDefault="00BE14FE" w:rsidP="00502C97">
      <w:pPr>
        <w:pStyle w:val="Heading1"/>
      </w:pPr>
      <w:r w:rsidRPr="00502C97">
        <w:t>Limitations</w:t>
      </w:r>
    </w:p>
    <w:p w14:paraId="0F0B9022" w14:textId="77777777" w:rsidR="00BE14FE" w:rsidRPr="00502C97" w:rsidRDefault="00502C97" w:rsidP="00502C97">
      <w:pPr>
        <w:numPr>
          <w:ilvl w:val="0"/>
          <w:numId w:val="3"/>
        </w:numPr>
      </w:pPr>
      <w:r>
        <w:t xml:space="preserve">Will not </w:t>
      </w:r>
      <w:r w:rsidR="00BE14FE" w:rsidRPr="00502C97">
        <w:t>keep water out of cracks, defects or open joints.</w:t>
      </w:r>
    </w:p>
    <w:p w14:paraId="49A513CF" w14:textId="77777777" w:rsidR="00F85102" w:rsidRPr="00F85102" w:rsidRDefault="00F85102" w:rsidP="00F85102">
      <w:pPr>
        <w:numPr>
          <w:ilvl w:val="0"/>
          <w:numId w:val="3"/>
        </w:numPr>
      </w:pPr>
      <w:r w:rsidRPr="00F85102">
        <w:t>Not appropriate for use on limestone, marble, travertine or other calcareous stones. Always test other natural stone to ensure desired results.</w:t>
      </w:r>
    </w:p>
    <w:p w14:paraId="5CF5D386" w14:textId="77777777" w:rsidR="00BE14FE" w:rsidRDefault="002C77DD" w:rsidP="00502C97">
      <w:pPr>
        <w:numPr>
          <w:ilvl w:val="0"/>
          <w:numId w:val="3"/>
        </w:numPr>
      </w:pPr>
      <w:r w:rsidRPr="00502C97">
        <w:t>Not recommended for below grade application.</w:t>
      </w:r>
    </w:p>
    <w:p w14:paraId="5DC0A806" w14:textId="77777777" w:rsidR="00502C97" w:rsidRPr="00502C97" w:rsidRDefault="00502C97" w:rsidP="00502C97">
      <w:pPr>
        <w:numPr>
          <w:ilvl w:val="0"/>
          <w:numId w:val="3"/>
        </w:numPr>
      </w:pPr>
      <w:r>
        <w:lastRenderedPageBreak/>
        <w:t xml:space="preserve">Not suitable for application to synthetic resin paints, gypsum or other non-masonry surfaces. </w:t>
      </w:r>
    </w:p>
    <w:p w14:paraId="42FAE10B" w14:textId="77777777" w:rsidR="00BE14FE" w:rsidRPr="00502C97" w:rsidRDefault="00BE14FE" w:rsidP="00502C97"/>
    <w:p w14:paraId="2D984E4B" w14:textId="77777777" w:rsidR="00BE14FE" w:rsidRPr="00502C97" w:rsidRDefault="00BE14FE" w:rsidP="00502C97">
      <w:pPr>
        <w:rPr>
          <w:rStyle w:val="Emphasis"/>
        </w:rPr>
      </w:pPr>
      <w:r w:rsidRPr="00502C97">
        <w:rPr>
          <w:rStyle w:val="Emphasis"/>
        </w:rPr>
        <w:t xml:space="preserve">Specifier Note:  Paragraphs below are for PART 3 EXECUTION, Installation.  </w:t>
      </w:r>
    </w:p>
    <w:p w14:paraId="47007148" w14:textId="77777777" w:rsidR="00BE14FE" w:rsidRPr="00502C97" w:rsidRDefault="00BE14FE" w:rsidP="00502C97"/>
    <w:p w14:paraId="7706AF6B" w14:textId="77777777" w:rsidR="00BE14FE" w:rsidRPr="00EE0C48" w:rsidRDefault="00BE14FE" w:rsidP="00EE0C48">
      <w:pPr>
        <w:pStyle w:val="Heading1"/>
      </w:pPr>
      <w:r w:rsidRPr="00EE0C48">
        <w:t>Application</w:t>
      </w:r>
    </w:p>
    <w:p w14:paraId="56849B06" w14:textId="77777777" w:rsidR="00BE14FE" w:rsidRPr="00EE0C48" w:rsidRDefault="00BE14FE" w:rsidP="00EE0C48">
      <w:r w:rsidRPr="00EE0C48">
        <w:t>Before applying, read “</w:t>
      </w:r>
      <w:r w:rsidR="001D3B59" w:rsidRPr="00EE0C48">
        <w:t>Preparation</w:t>
      </w:r>
      <w:r w:rsidRPr="00EE0C48">
        <w:t>” and “</w:t>
      </w:r>
      <w:r w:rsidR="001D3B59" w:rsidRPr="00EE0C48">
        <w:t>Safety Information</w:t>
      </w:r>
      <w:r w:rsidRPr="00EE0C48">
        <w:t xml:space="preserve">” sections in the Manufacturer’s Product Data Sheet for Weather Seal Siloxane PD.  Refer to the Product Data Sheet for additional information about </w:t>
      </w:r>
      <w:r w:rsidR="00420C9C">
        <w:t xml:space="preserve">preparation and </w:t>
      </w:r>
      <w:r w:rsidRPr="00EE0C48">
        <w:t>application of Weather Seal Siloxane PD.  Do not dilute or alter.</w:t>
      </w:r>
    </w:p>
    <w:p w14:paraId="383C1876" w14:textId="77777777" w:rsidR="00BE14FE" w:rsidRPr="00EE0C48" w:rsidRDefault="00BE14FE" w:rsidP="00EE0C48"/>
    <w:p w14:paraId="74833431" w14:textId="77777777" w:rsidR="00BE14FE" w:rsidRPr="00F85102" w:rsidRDefault="00BE14FE" w:rsidP="00F85102">
      <w:pPr>
        <w:ind w:left="720"/>
        <w:rPr>
          <w:b/>
          <w:bCs/>
        </w:rPr>
      </w:pPr>
      <w:r w:rsidRPr="00F85102">
        <w:rPr>
          <w:b/>
          <w:bCs/>
        </w:rPr>
        <w:t>Vertical Application Instructions</w:t>
      </w:r>
    </w:p>
    <w:p w14:paraId="68762705" w14:textId="77777777" w:rsidR="00BE14FE" w:rsidRPr="00420C9C" w:rsidRDefault="00420C9C" w:rsidP="00420C9C">
      <w:pPr>
        <w:ind w:left="1440" w:hanging="720"/>
        <w:rPr>
          <w:rStyle w:val="Emphasis"/>
          <w:i w:val="0"/>
          <w:iCs w:val="0"/>
        </w:rPr>
      </w:pPr>
      <w:r w:rsidRPr="00420C9C">
        <w:rPr>
          <w:rStyle w:val="Emphasis"/>
          <w:i w:val="0"/>
          <w:iCs w:val="0"/>
        </w:rPr>
        <w:t>SPECIFIER NOTE</w:t>
      </w:r>
      <w:r w:rsidR="00EE0C48" w:rsidRPr="00420C9C">
        <w:rPr>
          <w:rStyle w:val="Emphasis"/>
          <w:i w:val="0"/>
          <w:iCs w:val="0"/>
        </w:rPr>
        <w:t xml:space="preserve">: </w:t>
      </w:r>
      <w:r w:rsidR="00BE14FE" w:rsidRPr="00420C9C">
        <w:rPr>
          <w:rStyle w:val="Emphasis"/>
          <w:i w:val="0"/>
          <w:iCs w:val="0"/>
        </w:rPr>
        <w:t xml:space="preserve">For best results, apply protective </w:t>
      </w:r>
      <w:r w:rsidR="00F85102" w:rsidRPr="00420C9C">
        <w:rPr>
          <w:rStyle w:val="Emphasis"/>
          <w:i w:val="0"/>
          <w:iCs w:val="0"/>
        </w:rPr>
        <w:t>treatment “</w:t>
      </w:r>
      <w:r w:rsidR="00BE14FE" w:rsidRPr="00420C9C">
        <w:rPr>
          <w:rStyle w:val="Emphasis"/>
          <w:i w:val="0"/>
          <w:iCs w:val="0"/>
        </w:rPr>
        <w:t>wet-on-wet” to a visibly dry and absorbent surface.</w:t>
      </w:r>
    </w:p>
    <w:p w14:paraId="17C3E853" w14:textId="77777777" w:rsidR="00BE14FE" w:rsidRPr="00EE0C48" w:rsidRDefault="00BE14FE" w:rsidP="00EE0C48"/>
    <w:p w14:paraId="51B47525" w14:textId="77777777" w:rsidR="00BE14FE" w:rsidRPr="00EE0C48" w:rsidRDefault="00BE14FE" w:rsidP="00EE0C48">
      <w:pPr>
        <w:ind w:left="720"/>
      </w:pPr>
      <w:r w:rsidRPr="00EE0C48">
        <w:rPr>
          <w:b/>
        </w:rPr>
        <w:t>Spray</w:t>
      </w:r>
      <w:r w:rsidR="00F85102">
        <w:rPr>
          <w:b/>
        </w:rPr>
        <w:t>er</w:t>
      </w:r>
      <w:r w:rsidRPr="00EE0C48">
        <w:t>: Saturate from the bottom up, creating a 4</w:t>
      </w:r>
      <w:r w:rsidR="00EE0C48">
        <w:t>-inch</w:t>
      </w:r>
      <w:r w:rsidRPr="00EE0C48">
        <w:t xml:space="preserve"> to 8</w:t>
      </w:r>
      <w:r w:rsidR="00EE0C48">
        <w:t>-inch</w:t>
      </w:r>
      <w:r w:rsidRPr="00EE0C48">
        <w:t xml:space="preserve"> (15 to 20 </w:t>
      </w:r>
      <w:r w:rsidR="00EE0C48">
        <w:t>centimeters</w:t>
      </w:r>
      <w:r w:rsidRPr="00EE0C48">
        <w:t>) rundown below the spray contact point. Let the first application penetrate for 5</w:t>
      </w:r>
      <w:r w:rsidR="00EE0C48">
        <w:t xml:space="preserve"> to </w:t>
      </w:r>
      <w:r w:rsidRPr="00EE0C48">
        <w:t>10 minutes. Re</w:t>
      </w:r>
      <w:r w:rsidR="00EE0C48">
        <w:t>-</w:t>
      </w:r>
      <w:r w:rsidRPr="00EE0C48">
        <w:t>saturate. Less will be needed for the second application.</w:t>
      </w:r>
    </w:p>
    <w:p w14:paraId="12FEE0BD" w14:textId="77777777" w:rsidR="00BE14FE" w:rsidRPr="00EE0C48" w:rsidRDefault="00BE14FE" w:rsidP="00EE0C48">
      <w:pPr>
        <w:ind w:left="720"/>
      </w:pPr>
    </w:p>
    <w:p w14:paraId="57007366" w14:textId="77777777" w:rsidR="00BE14FE" w:rsidRDefault="00BE14FE" w:rsidP="00EE0C48">
      <w:pPr>
        <w:ind w:left="720"/>
      </w:pPr>
      <w:r w:rsidRPr="00EE0C48">
        <w:rPr>
          <w:b/>
        </w:rPr>
        <w:t xml:space="preserve">Brush or </w:t>
      </w:r>
      <w:r w:rsidR="00EE0C48" w:rsidRPr="00EE0C48">
        <w:rPr>
          <w:b/>
        </w:rPr>
        <w:t>R</w:t>
      </w:r>
      <w:r w:rsidRPr="00EE0C48">
        <w:rPr>
          <w:b/>
        </w:rPr>
        <w:t>oller</w:t>
      </w:r>
      <w:r w:rsidRPr="00EE0C48">
        <w:t>: Saturate uniformly. Let protective treatment penetrate for 5 to 10 minutes. Brush out heavy runs and drips that do</w:t>
      </w:r>
      <w:r w:rsidR="00F85102">
        <w:t xml:space="preserve"> </w:t>
      </w:r>
      <w:r w:rsidRPr="00EE0C48">
        <w:t>n</w:t>
      </w:r>
      <w:r w:rsidR="00F85102">
        <w:t>o</w:t>
      </w:r>
      <w:r w:rsidRPr="00EE0C48">
        <w:t>t penetrate.</w:t>
      </w:r>
    </w:p>
    <w:p w14:paraId="4757E77F" w14:textId="77777777" w:rsidR="00420C9C" w:rsidRDefault="00420C9C" w:rsidP="00420C9C">
      <w:pPr>
        <w:ind w:left="1440" w:hanging="720"/>
      </w:pPr>
      <w:r w:rsidRPr="00420C9C">
        <w:rPr>
          <w:rStyle w:val="Emphasis"/>
          <w:i w:val="0"/>
          <w:iCs w:val="0"/>
        </w:rPr>
        <w:t xml:space="preserve">SPECIFIER NOTE: </w:t>
      </w:r>
      <w:r>
        <w:rPr>
          <w:rStyle w:val="Emphasis"/>
          <w:i w:val="0"/>
          <w:iCs w:val="0"/>
        </w:rPr>
        <w:t xml:space="preserve">Brush or roller application is recommended for small scale application or when spray application is not appropriate. </w:t>
      </w:r>
    </w:p>
    <w:p w14:paraId="1258CC01" w14:textId="77777777" w:rsidR="00BE14FE" w:rsidRPr="00EE0C48" w:rsidRDefault="00BE14FE" w:rsidP="00EE0C48"/>
    <w:p w14:paraId="7397062C" w14:textId="77777777" w:rsidR="00BE14FE" w:rsidRPr="00F85102" w:rsidRDefault="00BE14FE" w:rsidP="00F85102">
      <w:pPr>
        <w:ind w:left="720"/>
        <w:rPr>
          <w:b/>
          <w:bCs/>
        </w:rPr>
      </w:pPr>
      <w:r w:rsidRPr="00F85102">
        <w:rPr>
          <w:b/>
          <w:bCs/>
        </w:rPr>
        <w:t>Dense Surface Application Instructions</w:t>
      </w:r>
    </w:p>
    <w:p w14:paraId="03D4AE97" w14:textId="77777777" w:rsidR="00BE14FE" w:rsidRPr="00EE0C48" w:rsidRDefault="00BE14FE" w:rsidP="00EE0C48">
      <w:pPr>
        <w:ind w:left="720"/>
      </w:pPr>
      <w:r w:rsidRPr="00EE0C48">
        <w:t>Apply a single</w:t>
      </w:r>
      <w:r w:rsidR="00420C9C">
        <w:t xml:space="preserve"> </w:t>
      </w:r>
      <w:r w:rsidRPr="00EE0C48">
        <w:t xml:space="preserve">application. </w:t>
      </w:r>
      <w:r w:rsidR="00420C9C">
        <w:t xml:space="preserve">Use enough to completely wet the surface without creating drips, puddles or run down. </w:t>
      </w:r>
      <w:r w:rsidR="00F85102">
        <w:t>Do not over apply</w:t>
      </w:r>
      <w:r w:rsidRPr="00EE0C48">
        <w:t>. Always test</w:t>
      </w:r>
      <w:r w:rsidR="00420C9C">
        <w:t xml:space="preserve"> for application rate. </w:t>
      </w:r>
    </w:p>
    <w:p w14:paraId="113A79DA" w14:textId="77777777" w:rsidR="00BE14FE" w:rsidRPr="00EE0C48" w:rsidRDefault="00BE14FE" w:rsidP="00EE0C48"/>
    <w:p w14:paraId="0B614D02" w14:textId="77777777" w:rsidR="00BE14FE" w:rsidRPr="00F85102" w:rsidRDefault="00BE14FE" w:rsidP="00F85102">
      <w:pPr>
        <w:ind w:left="720"/>
        <w:rPr>
          <w:b/>
          <w:bCs/>
        </w:rPr>
      </w:pPr>
      <w:r w:rsidRPr="00F85102">
        <w:rPr>
          <w:b/>
          <w:bCs/>
        </w:rPr>
        <w:t>Horizontal Application Instructions</w:t>
      </w:r>
    </w:p>
    <w:p w14:paraId="2ED3EAAB" w14:textId="77777777" w:rsidR="00BE14FE" w:rsidRPr="00EE0C48" w:rsidRDefault="00BE14FE" w:rsidP="00420C9C">
      <w:pPr>
        <w:ind w:left="720"/>
      </w:pPr>
      <w:r w:rsidRPr="00EE0C48">
        <w:t>Saturate in a single application. Use enough to keep the surface wet for 2 to 3 minutes before penetration.</w:t>
      </w:r>
      <w:r w:rsidR="00420C9C">
        <w:t xml:space="preserve"> </w:t>
      </w:r>
      <w:r w:rsidRPr="00EE0C48">
        <w:t xml:space="preserve">Broom out puddles until they soak in. </w:t>
      </w:r>
    </w:p>
    <w:p w14:paraId="12DE6AA8" w14:textId="77777777" w:rsidR="002C77DD" w:rsidRDefault="002C77DD" w:rsidP="00EE0C48"/>
    <w:p w14:paraId="79AE5BE9" w14:textId="77777777" w:rsidR="00EE0C48" w:rsidRDefault="00EE0C48" w:rsidP="00EE0C48">
      <w:pPr>
        <w:pStyle w:val="Heading1"/>
      </w:pPr>
      <w:r>
        <w:t>Drying Time</w:t>
      </w:r>
    </w:p>
    <w:p w14:paraId="3108F248" w14:textId="77777777" w:rsidR="002C77DD" w:rsidRPr="00EE0C48" w:rsidRDefault="00EE0C48" w:rsidP="00EE0C48">
      <w:r w:rsidRPr="00EE0C48">
        <w:t>Treated surfaces dry to</w:t>
      </w:r>
      <w:r w:rsidR="00F85102">
        <w:t xml:space="preserve"> the</w:t>
      </w:r>
      <w:r w:rsidRPr="00EE0C48">
        <w:t xml:space="preserve"> touch in 1 hour. Protect surfaces from rainfall for 6 hours following treatment. </w:t>
      </w:r>
      <w:r>
        <w:t xml:space="preserve">Protect from foot and vehicle traffic until visibly dry. Siloxane PD gains its water repellency properties in 72 hours. </w:t>
      </w:r>
    </w:p>
    <w:p w14:paraId="3F4378B7" w14:textId="77777777" w:rsidR="00BE14FE" w:rsidRDefault="00BE14FE" w:rsidP="00EE0C48"/>
    <w:p w14:paraId="1A7AE60A" w14:textId="77777777" w:rsidR="00EE0C48" w:rsidRDefault="00EE0C48" w:rsidP="00EE0C48">
      <w:pPr>
        <w:pStyle w:val="Heading1"/>
      </w:pPr>
      <w:r>
        <w:t>Cleanup</w:t>
      </w:r>
    </w:p>
    <w:p w14:paraId="77D7D423" w14:textId="77777777" w:rsidR="00EE0C48" w:rsidRPr="00EE0C48" w:rsidRDefault="00EE0C48" w:rsidP="00EE0C48">
      <w:r>
        <w:t xml:space="preserve">Clean tools, equipment and over spray with soap and warm water. </w:t>
      </w:r>
    </w:p>
    <w:sectPr w:rsidR="00EE0C48" w:rsidRPr="00EE0C4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Bold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LT Std Light">
    <w:panose1 w:val="02040604040505020204"/>
    <w:charset w:val="00"/>
    <w:family w:val="roman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6D2B"/>
    <w:multiLevelType w:val="hybridMultilevel"/>
    <w:tmpl w:val="19C269DA"/>
    <w:lvl w:ilvl="0" w:tplc="9B404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606532"/>
    <w:multiLevelType w:val="hybridMultilevel"/>
    <w:tmpl w:val="CCF8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23619B"/>
    <w:multiLevelType w:val="hybridMultilevel"/>
    <w:tmpl w:val="C8AAD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D96ADF"/>
    <w:multiLevelType w:val="hybridMultilevel"/>
    <w:tmpl w:val="959E5354"/>
    <w:lvl w:ilvl="0" w:tplc="B58C36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663BB"/>
    <w:multiLevelType w:val="hybridMultilevel"/>
    <w:tmpl w:val="82F20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8373">
    <w:abstractNumId w:val="3"/>
  </w:num>
  <w:num w:numId="2" w16cid:durableId="583076034">
    <w:abstractNumId w:val="0"/>
  </w:num>
  <w:num w:numId="3" w16cid:durableId="558319161">
    <w:abstractNumId w:val="1"/>
  </w:num>
  <w:num w:numId="4" w16cid:durableId="1201475830">
    <w:abstractNumId w:val="4"/>
  </w:num>
  <w:num w:numId="5" w16cid:durableId="131853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8E"/>
    <w:rsid w:val="00075290"/>
    <w:rsid w:val="001A434C"/>
    <w:rsid w:val="001D3B59"/>
    <w:rsid w:val="002201D4"/>
    <w:rsid w:val="002C77DD"/>
    <w:rsid w:val="00352055"/>
    <w:rsid w:val="00420C9C"/>
    <w:rsid w:val="00431007"/>
    <w:rsid w:val="004E57ED"/>
    <w:rsid w:val="00502C97"/>
    <w:rsid w:val="005A10C7"/>
    <w:rsid w:val="00612C64"/>
    <w:rsid w:val="00661B0B"/>
    <w:rsid w:val="00776F06"/>
    <w:rsid w:val="0081494A"/>
    <w:rsid w:val="008836EB"/>
    <w:rsid w:val="00950A8E"/>
    <w:rsid w:val="00BA0D75"/>
    <w:rsid w:val="00BE14FE"/>
    <w:rsid w:val="00BF3113"/>
    <w:rsid w:val="00E06182"/>
    <w:rsid w:val="00EE0C48"/>
    <w:rsid w:val="00F8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0D74A5"/>
  <w15:chartTrackingRefBased/>
  <w15:docId w15:val="{E8C45189-E963-4346-9D4E-7CB47652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0C7"/>
    <w:rPr>
      <w:rFonts w:ascii="Georgia" w:hAnsi="Georgia"/>
      <w:sz w:val="22"/>
    </w:rPr>
  </w:style>
  <w:style w:type="paragraph" w:styleId="Heading1">
    <w:name w:val="heading 1"/>
    <w:basedOn w:val="Normal"/>
    <w:next w:val="Normal"/>
    <w:qFormat/>
    <w:rsid w:val="005A10C7"/>
    <w:pPr>
      <w:keepNext/>
      <w:autoSpaceDE w:val="0"/>
      <w:autoSpaceDN w:val="0"/>
      <w:adjustRightInd w:val="0"/>
      <w:outlineLvl w:val="0"/>
    </w:pPr>
    <w:rPr>
      <w:rFonts w:ascii="Gotham Medium" w:hAnsi="Gotham Medium" w:cs="Arial"/>
      <w:b/>
      <w:bCs/>
      <w:sz w:val="24"/>
    </w:rPr>
  </w:style>
  <w:style w:type="paragraph" w:styleId="Heading2">
    <w:name w:val="heading 2"/>
    <w:basedOn w:val="Normal"/>
    <w:next w:val="Normal"/>
    <w:qFormat/>
    <w:rsid w:val="00420C9C"/>
    <w:pPr>
      <w:keepNext/>
      <w:autoSpaceDE w:val="0"/>
      <w:autoSpaceDN w:val="0"/>
      <w:adjustRightInd w:val="0"/>
      <w:ind w:left="720"/>
      <w:outlineLvl w:val="1"/>
    </w:pPr>
    <w:rPr>
      <w:rFonts w:ascii="Gotham Medium" w:hAnsi="Gotham Medium"/>
      <w:bCs/>
      <w:cap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rFonts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5A10C7"/>
    <w:rPr>
      <w:rFonts w:ascii="GothamBold" w:hAnsi="GothamBold"/>
      <w:bCs/>
      <w:sz w:val="28"/>
      <w:szCs w:val="24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</w:pPr>
    <w:rPr>
      <w:rFonts w:ascii="Carnegie-Regular" w:hAnsi="Carnegie-Regular" w:cs="Arial"/>
      <w:b/>
      <w:bCs/>
      <w:sz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Carnegie-Regular" w:hAnsi="Carnegie-Regular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080"/>
    </w:pPr>
    <w:rPr>
      <w:rFonts w:cs="Arial"/>
      <w:sz w:val="20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1350" w:hanging="270"/>
    </w:pPr>
    <w:rPr>
      <w:rFonts w:cs="Arial"/>
      <w:sz w:val="20"/>
    </w:rPr>
  </w:style>
  <w:style w:type="paragraph" w:styleId="BalloonText">
    <w:name w:val="Balloon Text"/>
    <w:basedOn w:val="Normal"/>
    <w:semiHidden/>
    <w:rsid w:val="001D3B59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502C97"/>
    <w:rPr>
      <w:i/>
      <w:iCs/>
      <w:color w:val="auto"/>
    </w:rPr>
  </w:style>
  <w:style w:type="character" w:styleId="UnresolvedMention">
    <w:name w:val="Unresolved Mention"/>
    <w:uiPriority w:val="99"/>
    <w:semiHidden/>
    <w:unhideWhenUsed/>
    <w:rsid w:val="00502C97"/>
    <w:rPr>
      <w:color w:val="808080"/>
      <w:shd w:val="clear" w:color="auto" w:fill="E6E6E6"/>
    </w:rPr>
  </w:style>
  <w:style w:type="paragraph" w:customStyle="1" w:styleId="Default">
    <w:name w:val="Default"/>
    <w:rsid w:val="005A10C7"/>
    <w:pPr>
      <w:autoSpaceDE w:val="0"/>
      <w:autoSpaceDN w:val="0"/>
      <w:adjustRightInd w:val="0"/>
    </w:pPr>
    <w:rPr>
      <w:rFonts w:ascii="Clarendon LT Std Light" w:hAnsi="Clarendon LT Std Light" w:cs="Clarendon LT Std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Care@proso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Cleaning Specifications for Sure Klean 600 Detergent </vt:lpstr>
    </vt:vector>
  </TitlesOfParts>
  <Company>PROSOCO, Inc.</Company>
  <LinksUpToDate>false</LinksUpToDate>
  <CharactersWithSpaces>4211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mailto:CustomerCare@prosoco.com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Gale</dc:creator>
  <cp:keywords/>
  <dc:description/>
  <cp:lastModifiedBy>Janet L. Horner</cp:lastModifiedBy>
  <cp:revision>2</cp:revision>
  <cp:lastPrinted>2007-02-23T21:27:00Z</cp:lastPrinted>
  <dcterms:created xsi:type="dcterms:W3CDTF">2024-03-20T16:24:00Z</dcterms:created>
  <dcterms:modified xsi:type="dcterms:W3CDTF">2024-03-20T16:24:00Z</dcterms:modified>
</cp:coreProperties>
</file>